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tručna praksa II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5427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5427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009D8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009D8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55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6D041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D009D8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100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>43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42466C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/Hemija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Dr.sci. 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Osposobiti studente za samostalno izvodjenje rada u hemijskom laboratoriju. Sticanje radnih navika i iskustava, praktičnih znanja i vještina vezanih uz odabranu djelatnost stručne prakse. Upoznavanje sa stvarnim radnim okruženjem, radnim zadacima koji se tamo obavljaju i povezivanje s ljudima iz profesije.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0417" w:rsidRPr="006D0417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:rsidR="006D272C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Uzimanje uzoraka slane vode sirove i prečišćene, krečnog mlijeka,filtrirane vode, amonijačne vode,priprema hemikalija za analizu, priprema otopina, definisati metodu i uraditi fizičko hemijske osobine uzorka slane vode i amonijačne slane vode, koncentraciju,tvrdoća, specifičnu težinu,priprema otopina, priprema hemikalija, uraditi fizičko hemijsku analizu krečnog mlijeka i DS izlaza, koncentraciju, gustinu i sadržaj suspendovanih,priprema otopina, priprema hemikalija, definisati metodu da bi se uradio fizički i hemijski sastav sirove,filtrirane i otpadnih industrijskih voda,pH,mutnoća,suspendovane,priprema uzorka filterskog pepela,šljake,kamena krečnjaka i uraditi sagorivo u pepelu i šljaci, nasipnu težinu, sadržaj CaCO3 u kamenu,priprema otopina, priprema hemikalija za analizu fizičko hemijskih parametara DS lužine, DCB izlaza i ulaza, matične lužine BR, suspendovane,specifičnu težinu,priprema otopina, priprema hemikalija, proizvodnja 0,5 kg CaCO3 99,00%, sa sadržajem Cl 0,1 %. Fizičko hemijske analize za ispitivanje čvrstih goriva iz obnovljivih izvora. Hemijske analize ispitivanja cementa i cementne prašine i ostale hemijske analize sirovina u saradnji sa privrednim subjektima sa kojima fakultet ostvaruje saradnju. 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D0417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0417" w:rsidRPr="006D0417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6D0417" w:rsidRPr="006D0417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- laboratorijske vježbe (LV)</w:t>
            </w:r>
          </w:p>
          <w:p w:rsidR="006D272C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0417" w:rsidRPr="006D0417" w:rsidRDefault="00AA0249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D0417" w:rsidRPr="006D0417">
              <w:rPr>
                <w:rFonts w:asciiTheme="majorHAnsi" w:hAnsiTheme="majorHAnsi" w:cs="Arial"/>
                <w:b/>
                <w:sz w:val="18"/>
                <w:szCs w:val="18"/>
              </w:rPr>
              <w:t>Prisustvo i aktivnost na nastavi                          20 bodova</w:t>
            </w:r>
          </w:p>
          <w:p w:rsidR="006D0417" w:rsidRPr="006D0417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Praktični ispit                                                     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</w:t>
            </w: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30 bodova</w:t>
            </w:r>
          </w:p>
          <w:p w:rsidR="006D0417" w:rsidRPr="006D0417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usmeni ispit                                            </w:t>
            </w:r>
            <w:r w:rsidR="00D009D8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 xml:space="preserve">  50 bodova</w:t>
            </w:r>
          </w:p>
          <w:p w:rsidR="006D272C" w:rsidRDefault="006D0417" w:rsidP="006D041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D0417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za studente koji slušaju kurs koriste se: - pismene i/ili - usmene metode. Pismene metode obuhvataju pismenu provjeru znanja na testovima (mini ispitima)  nakon određenih oblasti nastavnog plana.  Pismeni ispiti obuhvataju odvojeno polaganje dijela koji se odnosi na rješavanje primjera/zadataka i dijela koji se odnosi na poznavanje teorije apsolvirane oblasti.  Usmeni dio provjere znanja podrazumijeva odbranu timskog projekta putem prezentacije i druge vidove verbalne komunikacije kroz interaktivni rad. Usmeni ispit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5 bodova za prisustvo i5 bodova za aktivnosti na časovima neće moći naknadno naknadno sticati bodove po ovom osnovu, osim ako se ustanovi greška u evidentiranju i bodovanju.  Usmena provjera znanja i vještina organizovat će se kao kraća diskusija, od 15-30 minuta, sa osvrtom na srž kursa ili kao test sa ponuđenim pitanjima, te na osnovu rezultata studentima će se predložiti način rješavanja žalbe na stečeni broj bodova.</w:t>
            </w:r>
            <w:r w:rsidR="0042466C" w:rsidRPr="0042466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</w:t>
            </w:r>
            <w:r w:rsidR="006D0417">
              <w:rPr>
                <w:rFonts w:asciiTheme="majorHAnsi" w:hAnsiTheme="majorHAnsi"/>
                <w:b/>
                <w:sz w:val="18"/>
                <w:szCs w:val="18"/>
              </w:rPr>
              <w:t>Praktični ispit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6D0417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1C57F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%, </w:t>
            </w:r>
            <w:r w:rsidR="006D0417">
              <w:rPr>
                <w:rFonts w:asciiTheme="majorHAnsi" w:hAnsiTheme="majorHAnsi"/>
                <w:b/>
                <w:sz w:val="18"/>
                <w:szCs w:val="18"/>
              </w:rPr>
              <w:t>Aktivnost: 2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009D8" w:rsidRPr="00D009D8" w:rsidRDefault="00AA0249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 w:rsidRPr="00D009D8">
              <w:rPr>
                <w:rFonts w:asciiTheme="majorHAnsi" w:hAnsiTheme="majorHAnsi" w:cs="Arial"/>
                <w:b/>
                <w:sz w:val="18"/>
                <w:szCs w:val="18"/>
              </w:rPr>
              <w:t>1.Antioksidansi - oksidacijski stres i antioksidacijska zaštita, Aldina Kesić, Nadira Ibrišimović Mehmedinović, Almir Šestan</w:t>
            </w:r>
          </w:p>
          <w:p w:rsidR="00D009D8" w:rsidRPr="00D009D8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2. Kiseonikovi slobodni radikali i prirodni antioksidansi, Dr.Jasna Čanadanović - Brunet, 1998</w:t>
            </w:r>
          </w:p>
          <w:p w:rsidR="00D009D8" w:rsidRPr="00D009D8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3. Metali u vodi za piće, Biljana Z. Čirić, 2007</w:t>
            </w:r>
          </w:p>
          <w:p w:rsidR="00D009D8" w:rsidRPr="00D009D8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4. Uvod u laboratorijski rad, Nadira Ibrišimović Mehmedinovi, Jasmina Dedić, Mirza Ibrišimović, Aldina Kesić</w:t>
            </w:r>
          </w:p>
          <w:p w:rsidR="006D272C" w:rsidRDefault="00D009D8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09D8">
              <w:rPr>
                <w:rFonts w:asciiTheme="majorHAnsi" w:hAnsiTheme="majorHAnsi" w:cs="Arial"/>
                <w:b/>
                <w:sz w:val="18"/>
                <w:szCs w:val="18"/>
              </w:rPr>
              <w:t>5. V. Mayer, Eksperimentalna nastava kemije, Zagreb, Školska knjiga, 1991.</w:t>
            </w:r>
            <w:r w:rsidR="001C57FB" w:rsidRPr="001C57F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D009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09D8" w:rsidRPr="00D009D8">
              <w:rPr>
                <w:rFonts w:asciiTheme="majorHAnsi" w:hAnsiTheme="majorHAnsi" w:cs="Arial"/>
                <w:b/>
                <w:sz w:val="18"/>
                <w:szCs w:val="18"/>
              </w:rPr>
              <w:t>1. Inženjerstvo mineralnih veziva, Vilko Mandić, Marko Rukavina, zagreb 2024</w:t>
            </w:r>
            <w:r w:rsidR="001C57FB" w:rsidRPr="001C57FB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99518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9518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9518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271" w:rsidRDefault="00C54271">
      <w:pPr>
        <w:spacing w:line="240" w:lineRule="auto"/>
      </w:pPr>
      <w:r>
        <w:separator/>
      </w:r>
    </w:p>
  </w:endnote>
  <w:endnote w:type="continuationSeparator" w:id="0">
    <w:p w:rsidR="00C54271" w:rsidRDefault="00C542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95188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95188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9518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271" w:rsidRDefault="00C54271">
      <w:pPr>
        <w:spacing w:after="0"/>
      </w:pPr>
      <w:r>
        <w:separator/>
      </w:r>
    </w:p>
  </w:footnote>
  <w:footnote w:type="continuationSeparator" w:id="0">
    <w:p w:rsidR="00C54271" w:rsidRDefault="00C542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7FB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54C9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2466C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0417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3C15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5188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4271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09D8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4F6F-F080-4D84-ACDE-3B3DE1F3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2026-03-05T09:38:00Z</dcterms:created>
  <dcterms:modified xsi:type="dcterms:W3CDTF">2026-03-11T11:43:00Z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